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3B" w:rsidRPr="00F0753B" w:rsidRDefault="00F0753B" w:rsidP="00F0753B">
      <w:pPr>
        <w:pStyle w:val="Nadpis1"/>
        <w:jc w:val="center"/>
        <w:rPr>
          <w:b/>
        </w:rPr>
      </w:pPr>
      <w:bookmarkStart w:id="0" w:name="_Toc388263239"/>
      <w:r w:rsidRPr="00F0753B">
        <w:rPr>
          <w:b/>
        </w:rPr>
        <w:t>Technické požadavky na HW terminály</w:t>
      </w:r>
    </w:p>
    <w:p w:rsidR="00F95F30" w:rsidRDefault="00F95F30" w:rsidP="00692C47">
      <w:pPr>
        <w:pStyle w:val="Nadpis1"/>
      </w:pPr>
      <w:r>
        <w:t>Popis stávajícího stavu</w:t>
      </w:r>
      <w:bookmarkEnd w:id="0"/>
    </w:p>
    <w:p w:rsidR="006E3578" w:rsidRDefault="00692C47" w:rsidP="006E3578">
      <w:pPr>
        <w:jc w:val="both"/>
      </w:pPr>
      <w:r>
        <w:t>T</w:t>
      </w:r>
      <w:r w:rsidR="006E3578">
        <w:t>erminálová e</w:t>
      </w:r>
      <w:r w:rsidR="00402472">
        <w:t xml:space="preserve">mulace </w:t>
      </w:r>
      <w:r>
        <w:t xml:space="preserve">je nasazena </w:t>
      </w:r>
      <w:r w:rsidR="00402472">
        <w:t>na technologiích Microso</w:t>
      </w:r>
      <w:r w:rsidR="006E3578">
        <w:t>f</w:t>
      </w:r>
      <w:r w:rsidR="00402472">
        <w:t>t</w:t>
      </w:r>
      <w:r w:rsidR="006E3578">
        <w:t xml:space="preserve"> </w:t>
      </w:r>
      <w:proofErr w:type="spellStart"/>
      <w:r w:rsidR="006E3578">
        <w:t>Remote</w:t>
      </w:r>
      <w:proofErr w:type="spellEnd"/>
      <w:r w:rsidR="006E3578">
        <w:t xml:space="preserve"> Desktop </w:t>
      </w:r>
      <w:proofErr w:type="spellStart"/>
      <w:r w:rsidR="006E3578">
        <w:t>Services</w:t>
      </w:r>
      <w:proofErr w:type="spellEnd"/>
      <w:r w:rsidR="006E3578">
        <w:t xml:space="preserve"> a </w:t>
      </w:r>
      <w:proofErr w:type="spellStart"/>
      <w:r w:rsidR="006E3578">
        <w:t>Citrix</w:t>
      </w:r>
      <w:proofErr w:type="spellEnd"/>
      <w:r w:rsidR="006E3578">
        <w:t xml:space="preserve"> </w:t>
      </w:r>
      <w:proofErr w:type="spellStart"/>
      <w:r w:rsidR="006E3578">
        <w:t>Xen</w:t>
      </w:r>
      <w:proofErr w:type="spellEnd"/>
      <w:r w:rsidR="006E3578">
        <w:t xml:space="preserve"> Desktop verze 6.5 edice </w:t>
      </w:r>
      <w:proofErr w:type="spellStart"/>
      <w:r w:rsidR="006E3578">
        <w:t>Enterprise</w:t>
      </w:r>
      <w:proofErr w:type="spellEnd"/>
      <w:r w:rsidR="006E3578">
        <w:t xml:space="preserve">, přes kterou jsou doručovány </w:t>
      </w:r>
      <w:r>
        <w:t xml:space="preserve">dále uvedené </w:t>
      </w:r>
      <w:r w:rsidR="006E3578">
        <w:t xml:space="preserve">aplikace. Koncové stanice </w:t>
      </w:r>
      <w:r>
        <w:t xml:space="preserve">se spravují </w:t>
      </w:r>
      <w:r w:rsidR="006E3578">
        <w:t>manuálně, není nasazena technologie virtuálních desktopů</w:t>
      </w:r>
      <w:r>
        <w:t xml:space="preserve"> či </w:t>
      </w:r>
      <w:r w:rsidR="006C7BF9">
        <w:t>HW terminálových</w:t>
      </w:r>
      <w:r>
        <w:t xml:space="preserve"> klientů</w:t>
      </w:r>
      <w:r w:rsidR="0073537E">
        <w:t xml:space="preserve"> (dále také jen „TC“)</w:t>
      </w:r>
      <w:r w:rsidR="006E3578">
        <w:t>.</w:t>
      </w:r>
    </w:p>
    <w:p w:rsidR="0073537E" w:rsidRDefault="0073537E" w:rsidP="006E3578">
      <w:pPr>
        <w:jc w:val="both"/>
      </w:pPr>
      <w:bookmarkStart w:id="1" w:name="_GoBack"/>
      <w:bookmarkEnd w:id="1"/>
    </w:p>
    <w:p w:rsidR="00F95F30" w:rsidRDefault="00F95F30" w:rsidP="00F95F30">
      <w:pPr>
        <w:jc w:val="center"/>
      </w:pPr>
      <w:r>
        <w:rPr>
          <w:noProof/>
          <w:lang w:eastAsia="cs-CZ"/>
        </w:rPr>
        <w:drawing>
          <wp:inline distT="0" distB="0" distL="0" distR="0" wp14:anchorId="17DD7967" wp14:editId="26872DB3">
            <wp:extent cx="6294059" cy="4381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014" t="11762" r="21131" b="14135"/>
                    <a:stretch/>
                  </pic:blipFill>
                  <pic:spPr bwMode="auto">
                    <a:xfrm>
                      <a:off x="0" y="0"/>
                      <a:ext cx="6327520" cy="4404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56D" w:rsidRDefault="00D0156D" w:rsidP="00692C47">
      <w:pPr>
        <w:keepNext/>
        <w:rPr>
          <w:b/>
        </w:rPr>
      </w:pPr>
    </w:p>
    <w:p w:rsidR="00AE01D0" w:rsidRPr="00AE01D0" w:rsidRDefault="00AE01D0" w:rsidP="00692C47">
      <w:pPr>
        <w:keepNext/>
        <w:rPr>
          <w:b/>
        </w:rPr>
      </w:pPr>
      <w:r w:rsidRPr="00AE01D0">
        <w:rPr>
          <w:b/>
        </w:rPr>
        <w:t>V prostředí terminálové farmy jsou instalovány a používány tyto aplikace:</w:t>
      </w:r>
    </w:p>
    <w:tbl>
      <w:tblPr>
        <w:tblW w:w="991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551"/>
        <w:gridCol w:w="1418"/>
        <w:gridCol w:w="1377"/>
        <w:gridCol w:w="3159"/>
      </w:tblGrid>
      <w:tr w:rsidR="00AE01D0" w:rsidRPr="00CD32C4" w:rsidTr="00A6234F">
        <w:trPr>
          <w:tblHeader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AE01D0" w:rsidRPr="00EE0D75" w:rsidRDefault="00AE01D0" w:rsidP="00A6234F">
            <w:pPr>
              <w:spacing w:line="240" w:lineRule="auto"/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EE0D75">
              <w:rPr>
                <w:rFonts w:ascii="Georgia" w:hAnsi="Georgia"/>
                <w:b/>
                <w:bCs/>
                <w:color w:val="FFFFFF" w:themeColor="background1"/>
              </w:rPr>
              <w:t>Aplikace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AE01D0" w:rsidRPr="00EE0D75" w:rsidRDefault="00AE01D0" w:rsidP="00A6234F">
            <w:pPr>
              <w:spacing w:line="240" w:lineRule="auto"/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EE0D75">
              <w:rPr>
                <w:rFonts w:ascii="Georgia" w:hAnsi="Georgia"/>
                <w:b/>
                <w:bCs/>
                <w:color w:val="FFFFFF" w:themeColor="background1"/>
              </w:rPr>
              <w:t>popis aplikace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AE01D0" w:rsidRPr="00EE0D75" w:rsidRDefault="00AE01D0" w:rsidP="00A6234F">
            <w:pPr>
              <w:spacing w:line="240" w:lineRule="auto"/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EE0D75">
              <w:rPr>
                <w:rFonts w:ascii="Georgia" w:hAnsi="Georgia"/>
                <w:b/>
                <w:bCs/>
                <w:color w:val="FFFFFF" w:themeColor="background1"/>
              </w:rPr>
              <w:t>způsob přístupu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AE01D0" w:rsidRPr="00EE0D75" w:rsidRDefault="00AE01D0" w:rsidP="00A6234F">
            <w:pPr>
              <w:spacing w:line="240" w:lineRule="auto"/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EE0D75">
              <w:rPr>
                <w:rFonts w:ascii="Georgia" w:hAnsi="Georgia"/>
                <w:b/>
                <w:bCs/>
                <w:color w:val="FFFFFF" w:themeColor="background1"/>
              </w:rPr>
              <w:t>technologie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AE01D0" w:rsidRPr="00EE0D75" w:rsidRDefault="00AE01D0" w:rsidP="00A6234F">
            <w:pPr>
              <w:spacing w:line="240" w:lineRule="auto"/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EE0D75">
              <w:rPr>
                <w:rFonts w:ascii="Georgia" w:hAnsi="Georgia"/>
                <w:b/>
                <w:bCs/>
                <w:color w:val="FFFFFF" w:themeColor="background1"/>
              </w:rPr>
              <w:t>instalace</w:t>
            </w:r>
          </w:p>
        </w:tc>
      </w:tr>
      <w:tr w:rsidR="00AE01D0" w:rsidRPr="00CD32C4" w:rsidTr="00A6234F">
        <w:trPr>
          <w:tblHeader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</w:rPr>
            </w:pPr>
            <w:r w:rsidRPr="00EE0D75">
              <w:rPr>
                <w:rFonts w:ascii="Georgia" w:hAnsi="Georgia"/>
                <w:color w:val="000000"/>
              </w:rPr>
              <w:t>IS SVS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odborný informační systém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tlustý klient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DOT NET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CD32C4">
              <w:rPr>
                <w:rFonts w:ascii="Georgia" w:hAnsi="Georgia"/>
                <w:color w:val="000000"/>
                <w:sz w:val="20"/>
              </w:rPr>
              <w:t xml:space="preserve">Aplikace </w:t>
            </w:r>
            <w:r w:rsidRPr="00EE0D75">
              <w:rPr>
                <w:rFonts w:ascii="Georgia" w:hAnsi="Georgia"/>
                <w:color w:val="000000"/>
                <w:sz w:val="20"/>
              </w:rPr>
              <w:t>instal</w:t>
            </w:r>
            <w:r w:rsidRPr="00CD32C4">
              <w:rPr>
                <w:rFonts w:ascii="Georgia" w:hAnsi="Georgia"/>
                <w:color w:val="000000"/>
                <w:sz w:val="20"/>
              </w:rPr>
              <w:t xml:space="preserve">ována na </w:t>
            </w:r>
            <w:proofErr w:type="spellStart"/>
            <w:r w:rsidRPr="00CD32C4">
              <w:rPr>
                <w:rFonts w:ascii="Georgia" w:hAnsi="Georgia"/>
                <w:color w:val="000000"/>
                <w:sz w:val="20"/>
              </w:rPr>
              <w:t>XenApp</w:t>
            </w:r>
            <w:proofErr w:type="spellEnd"/>
            <w:r w:rsidRPr="00CD32C4">
              <w:rPr>
                <w:rFonts w:ascii="Georgia" w:hAnsi="Georgia"/>
                <w:color w:val="000000"/>
                <w:sz w:val="20"/>
              </w:rPr>
              <w:t xml:space="preserve"> serveru</w:t>
            </w:r>
          </w:p>
        </w:tc>
      </w:tr>
      <w:tr w:rsidR="00AE01D0" w:rsidRPr="00CD32C4" w:rsidTr="00A6234F">
        <w:trPr>
          <w:tblHeader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</w:rPr>
            </w:pPr>
            <w:proofErr w:type="spellStart"/>
            <w:r w:rsidRPr="00EE0D75">
              <w:rPr>
                <w:rFonts w:ascii="Georgia" w:hAnsi="Georgia"/>
                <w:color w:val="000000"/>
              </w:rPr>
              <w:t>Okbase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personální a platový systém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tlustý klient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JAVA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CD32C4">
              <w:rPr>
                <w:rFonts w:ascii="Georgia" w:hAnsi="Georgia"/>
                <w:color w:val="000000"/>
                <w:sz w:val="20"/>
              </w:rPr>
              <w:t xml:space="preserve">Aplikace </w:t>
            </w:r>
            <w:r w:rsidRPr="00EE0D75">
              <w:rPr>
                <w:rFonts w:ascii="Georgia" w:hAnsi="Georgia"/>
                <w:color w:val="000000"/>
                <w:sz w:val="20"/>
              </w:rPr>
              <w:t>instal</w:t>
            </w:r>
            <w:r w:rsidRPr="00CD32C4">
              <w:rPr>
                <w:rFonts w:ascii="Georgia" w:hAnsi="Georgia"/>
                <w:color w:val="000000"/>
                <w:sz w:val="20"/>
              </w:rPr>
              <w:t xml:space="preserve">ována na </w:t>
            </w:r>
            <w:proofErr w:type="spellStart"/>
            <w:r w:rsidRPr="00CD32C4">
              <w:rPr>
                <w:rFonts w:ascii="Georgia" w:hAnsi="Georgia"/>
                <w:color w:val="000000"/>
                <w:sz w:val="20"/>
              </w:rPr>
              <w:t>XenApp</w:t>
            </w:r>
            <w:proofErr w:type="spellEnd"/>
            <w:r w:rsidRPr="00CD32C4">
              <w:rPr>
                <w:rFonts w:ascii="Georgia" w:hAnsi="Georgia"/>
                <w:color w:val="000000"/>
                <w:sz w:val="20"/>
              </w:rPr>
              <w:t xml:space="preserve"> serveru</w:t>
            </w:r>
          </w:p>
        </w:tc>
      </w:tr>
      <w:tr w:rsidR="00AE01D0" w:rsidRPr="00CD32C4" w:rsidTr="00A6234F">
        <w:trPr>
          <w:tblHeader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</w:rPr>
            </w:pPr>
            <w:r w:rsidRPr="00EE0D75">
              <w:rPr>
                <w:rFonts w:ascii="Georgia" w:hAnsi="Georgia"/>
                <w:color w:val="000000"/>
              </w:rPr>
              <w:t>EIS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ekonomický systém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tlustý klient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proofErr w:type="spellStart"/>
            <w:r w:rsidRPr="00EE0D75">
              <w:rPr>
                <w:rFonts w:ascii="Georgia" w:hAnsi="Georgia"/>
                <w:color w:val="000000"/>
                <w:sz w:val="20"/>
              </w:rPr>
              <w:t>Visual</w:t>
            </w:r>
            <w:proofErr w:type="spellEnd"/>
            <w:r w:rsidRPr="00EE0D75">
              <w:rPr>
                <w:rFonts w:ascii="Georgia" w:hAnsi="Georgia"/>
                <w:color w:val="000000"/>
                <w:sz w:val="20"/>
              </w:rPr>
              <w:t xml:space="preserve"> C++, JAVA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CD32C4">
              <w:rPr>
                <w:rFonts w:ascii="Georgia" w:hAnsi="Georgia"/>
                <w:color w:val="000000"/>
                <w:sz w:val="20"/>
              </w:rPr>
              <w:t xml:space="preserve">Aplikace </w:t>
            </w:r>
            <w:r w:rsidRPr="00EE0D75">
              <w:rPr>
                <w:rFonts w:ascii="Georgia" w:hAnsi="Georgia"/>
                <w:color w:val="000000"/>
                <w:sz w:val="20"/>
              </w:rPr>
              <w:t>instal</w:t>
            </w:r>
            <w:r w:rsidRPr="00CD32C4">
              <w:rPr>
                <w:rFonts w:ascii="Georgia" w:hAnsi="Georgia"/>
                <w:color w:val="000000"/>
                <w:sz w:val="20"/>
              </w:rPr>
              <w:t xml:space="preserve">ována na </w:t>
            </w:r>
            <w:proofErr w:type="spellStart"/>
            <w:r w:rsidRPr="00CD32C4">
              <w:rPr>
                <w:rFonts w:ascii="Georgia" w:hAnsi="Georgia"/>
                <w:color w:val="000000"/>
                <w:sz w:val="20"/>
              </w:rPr>
              <w:t>XenApp</w:t>
            </w:r>
            <w:proofErr w:type="spellEnd"/>
            <w:r w:rsidRPr="00CD32C4">
              <w:rPr>
                <w:rFonts w:ascii="Georgia" w:hAnsi="Georgia"/>
                <w:color w:val="000000"/>
                <w:sz w:val="20"/>
              </w:rPr>
              <w:t xml:space="preserve"> serveru</w:t>
            </w:r>
          </w:p>
        </w:tc>
      </w:tr>
      <w:tr w:rsidR="00AE01D0" w:rsidRPr="00CD32C4" w:rsidTr="00A6234F">
        <w:trPr>
          <w:tblHeader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</w:rPr>
            </w:pPr>
            <w:r w:rsidRPr="00EE0D75">
              <w:rPr>
                <w:rFonts w:ascii="Georgia" w:hAnsi="Georgia"/>
                <w:color w:val="000000"/>
              </w:rPr>
              <w:lastRenderedPageBreak/>
              <w:t>EIS pokladna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ekonomický systém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tenký klient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proofErr w:type="spellStart"/>
            <w:r w:rsidRPr="00EE0D75">
              <w:rPr>
                <w:rFonts w:ascii="Georgia" w:hAnsi="Georgia"/>
                <w:color w:val="000000"/>
                <w:sz w:val="20"/>
              </w:rPr>
              <w:t>Visual</w:t>
            </w:r>
            <w:proofErr w:type="spellEnd"/>
            <w:r w:rsidRPr="00EE0D75">
              <w:rPr>
                <w:rFonts w:ascii="Georgia" w:hAnsi="Georgia"/>
                <w:color w:val="000000"/>
                <w:sz w:val="20"/>
              </w:rPr>
              <w:t xml:space="preserve"> C++, JAVA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CD32C4">
              <w:rPr>
                <w:rFonts w:ascii="Georgia" w:hAnsi="Georgia"/>
                <w:color w:val="000000"/>
                <w:sz w:val="20"/>
              </w:rPr>
              <w:t>Přístup přes IE</w:t>
            </w:r>
          </w:p>
        </w:tc>
      </w:tr>
      <w:tr w:rsidR="00AE01D0" w:rsidRPr="00CD32C4" w:rsidTr="00A6234F">
        <w:trPr>
          <w:tblHeader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</w:rPr>
            </w:pPr>
            <w:r w:rsidRPr="00EE0D75">
              <w:rPr>
                <w:rFonts w:ascii="Georgia" w:hAnsi="Georgia"/>
                <w:color w:val="000000"/>
              </w:rPr>
              <w:t>Datový sklad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DWH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tenký klient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DOT NET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CD32C4">
              <w:rPr>
                <w:rFonts w:ascii="Georgia" w:hAnsi="Georgia"/>
                <w:color w:val="000000"/>
                <w:sz w:val="20"/>
              </w:rPr>
              <w:t>Přístup přes IE</w:t>
            </w:r>
          </w:p>
        </w:tc>
      </w:tr>
      <w:tr w:rsidR="00AE01D0" w:rsidRPr="00CD32C4" w:rsidTr="00A6234F">
        <w:trPr>
          <w:tblHeader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</w:rPr>
            </w:pPr>
            <w:r w:rsidRPr="00EE0D75">
              <w:rPr>
                <w:rFonts w:ascii="Georgia" w:hAnsi="Georgia"/>
                <w:color w:val="000000"/>
              </w:rPr>
              <w:t>Spisová služba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e-spis a spisovna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tenký klient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JAVA</w:t>
            </w:r>
            <w:r w:rsidRPr="00CD32C4">
              <w:rPr>
                <w:rFonts w:ascii="Georgia" w:hAnsi="Georgia"/>
                <w:color w:val="000000"/>
                <w:sz w:val="20"/>
              </w:rPr>
              <w:t xml:space="preserve"> 1.6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CD32C4">
              <w:rPr>
                <w:rFonts w:ascii="Georgia" w:hAnsi="Georgia"/>
                <w:color w:val="000000"/>
                <w:sz w:val="20"/>
              </w:rPr>
              <w:t>Přístup přes IE</w:t>
            </w:r>
          </w:p>
        </w:tc>
      </w:tr>
      <w:tr w:rsidR="00AE01D0" w:rsidRPr="00CD32C4" w:rsidTr="00A6234F">
        <w:trPr>
          <w:tblHeader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</w:rPr>
            </w:pPr>
            <w:r w:rsidRPr="00EE0D75">
              <w:rPr>
                <w:rFonts w:ascii="Georgia" w:hAnsi="Georgia"/>
                <w:color w:val="000000"/>
              </w:rPr>
              <w:t>Exchange 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 xml:space="preserve">email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tenký klient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 </w:t>
            </w:r>
            <w:r w:rsidRPr="00CD32C4">
              <w:rPr>
                <w:rFonts w:ascii="Georgia" w:hAnsi="Georgia"/>
                <w:color w:val="000000"/>
                <w:sz w:val="20"/>
              </w:rPr>
              <w:t>Přístup přes IE</w:t>
            </w:r>
          </w:p>
        </w:tc>
      </w:tr>
      <w:tr w:rsidR="00AE01D0" w:rsidRPr="00CD32C4" w:rsidTr="00A6234F">
        <w:trPr>
          <w:tblHeader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</w:rPr>
            </w:pPr>
            <w:r w:rsidRPr="00EE0D75">
              <w:rPr>
                <w:rFonts w:ascii="Georgia" w:hAnsi="Georgia"/>
                <w:color w:val="000000"/>
              </w:rPr>
              <w:t>ASPI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právní SW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tenký klient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CD32C4">
              <w:rPr>
                <w:rFonts w:ascii="Georgia" w:hAnsi="Georgia"/>
                <w:color w:val="000000"/>
                <w:sz w:val="20"/>
              </w:rPr>
              <w:t>Přístup přes IE</w:t>
            </w:r>
            <w:r w:rsidRPr="00EE0D75">
              <w:rPr>
                <w:rFonts w:ascii="Georgia" w:hAnsi="Georgia"/>
                <w:color w:val="000000"/>
                <w:sz w:val="20"/>
              </w:rPr>
              <w:t> </w:t>
            </w:r>
          </w:p>
        </w:tc>
      </w:tr>
      <w:tr w:rsidR="00AE01D0" w:rsidRPr="00CD32C4" w:rsidTr="00A6234F">
        <w:trPr>
          <w:tblHeader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</w:rPr>
            </w:pPr>
            <w:r w:rsidRPr="00EE0D75">
              <w:rPr>
                <w:rFonts w:ascii="Georgia" w:hAnsi="Georgia"/>
                <w:color w:val="000000"/>
              </w:rPr>
              <w:t>Evidence dokumentů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tenký klient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CD32C4">
              <w:rPr>
                <w:rFonts w:ascii="Georgia" w:hAnsi="Georgia"/>
                <w:color w:val="000000"/>
                <w:sz w:val="20"/>
              </w:rPr>
              <w:t>Přístup přes IE</w:t>
            </w:r>
            <w:r w:rsidRPr="00EE0D75">
              <w:rPr>
                <w:rFonts w:ascii="Georgia" w:hAnsi="Georgia"/>
                <w:color w:val="000000"/>
                <w:sz w:val="20"/>
              </w:rPr>
              <w:t> </w:t>
            </w:r>
          </w:p>
        </w:tc>
      </w:tr>
      <w:tr w:rsidR="00AE01D0" w:rsidRPr="00CD32C4" w:rsidTr="00A6234F">
        <w:trPr>
          <w:tblHeader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</w:rPr>
            </w:pPr>
            <w:r w:rsidRPr="00EE0D75">
              <w:rPr>
                <w:rFonts w:ascii="Georgia" w:hAnsi="Georgia"/>
                <w:color w:val="000000"/>
              </w:rPr>
              <w:t>MS OFFICE</w:t>
            </w:r>
            <w:r w:rsidRPr="00CD32C4">
              <w:rPr>
                <w:rFonts w:ascii="Georgia" w:hAnsi="Georgia"/>
                <w:color w:val="000000"/>
              </w:rPr>
              <w:t xml:space="preserve"> 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kancelářský balík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tlustý klient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CD32C4">
              <w:rPr>
                <w:rFonts w:ascii="Georgia" w:hAnsi="Georgia"/>
                <w:color w:val="000000"/>
                <w:sz w:val="20"/>
              </w:rPr>
              <w:t xml:space="preserve">Aplikace </w:t>
            </w:r>
            <w:r w:rsidRPr="00EE0D75">
              <w:rPr>
                <w:rFonts w:ascii="Georgia" w:hAnsi="Georgia"/>
                <w:color w:val="000000"/>
                <w:sz w:val="20"/>
              </w:rPr>
              <w:t>instal</w:t>
            </w:r>
            <w:r w:rsidRPr="00CD32C4">
              <w:rPr>
                <w:rFonts w:ascii="Georgia" w:hAnsi="Georgia"/>
                <w:color w:val="000000"/>
                <w:sz w:val="20"/>
              </w:rPr>
              <w:t xml:space="preserve">ována na </w:t>
            </w:r>
            <w:proofErr w:type="spellStart"/>
            <w:r w:rsidRPr="00CD32C4">
              <w:rPr>
                <w:rFonts w:ascii="Georgia" w:hAnsi="Georgia"/>
                <w:color w:val="000000"/>
                <w:sz w:val="20"/>
              </w:rPr>
              <w:t>XenApp</w:t>
            </w:r>
            <w:proofErr w:type="spellEnd"/>
            <w:r w:rsidRPr="00CD32C4">
              <w:rPr>
                <w:rFonts w:ascii="Georgia" w:hAnsi="Georgia"/>
                <w:color w:val="000000"/>
                <w:sz w:val="20"/>
              </w:rPr>
              <w:t xml:space="preserve"> serveru</w:t>
            </w:r>
            <w:r w:rsidRPr="00EE0D75">
              <w:rPr>
                <w:rFonts w:ascii="Georgia" w:hAnsi="Georgia"/>
                <w:color w:val="000000"/>
                <w:sz w:val="20"/>
              </w:rPr>
              <w:t> </w:t>
            </w:r>
          </w:p>
        </w:tc>
      </w:tr>
      <w:tr w:rsidR="00AE01D0" w:rsidRPr="00CD32C4" w:rsidTr="00A6234F">
        <w:trPr>
          <w:tblHeader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</w:rPr>
            </w:pPr>
            <w:r w:rsidRPr="00EE0D75">
              <w:rPr>
                <w:rFonts w:ascii="Georgia" w:hAnsi="Georgia"/>
                <w:color w:val="000000"/>
              </w:rPr>
              <w:t>Lync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CD32C4">
              <w:rPr>
                <w:rFonts w:ascii="Georgia" w:hAnsi="Georgia"/>
                <w:color w:val="000000"/>
                <w:sz w:val="20"/>
              </w:rPr>
              <w:t>Komunikační SW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EE0D75">
              <w:rPr>
                <w:rFonts w:ascii="Georgia" w:hAnsi="Georgia"/>
                <w:color w:val="000000"/>
                <w:sz w:val="20"/>
              </w:rPr>
              <w:t>tlustý klient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01D0" w:rsidRPr="00EE0D75" w:rsidRDefault="00AE01D0" w:rsidP="00A6234F">
            <w:pPr>
              <w:spacing w:line="240" w:lineRule="auto"/>
              <w:rPr>
                <w:rFonts w:ascii="Georgia" w:hAnsi="Georgia"/>
                <w:color w:val="000000"/>
                <w:sz w:val="20"/>
              </w:rPr>
            </w:pPr>
            <w:r w:rsidRPr="00CD32C4">
              <w:rPr>
                <w:rFonts w:ascii="Georgia" w:hAnsi="Georgia"/>
                <w:color w:val="000000"/>
                <w:sz w:val="20"/>
              </w:rPr>
              <w:t xml:space="preserve">Aplikace </w:t>
            </w:r>
            <w:r w:rsidRPr="00EE0D75">
              <w:rPr>
                <w:rFonts w:ascii="Georgia" w:hAnsi="Georgia"/>
                <w:color w:val="000000"/>
                <w:sz w:val="20"/>
              </w:rPr>
              <w:t>instal</w:t>
            </w:r>
            <w:r w:rsidRPr="00CD32C4">
              <w:rPr>
                <w:rFonts w:ascii="Georgia" w:hAnsi="Georgia"/>
                <w:color w:val="000000"/>
                <w:sz w:val="20"/>
              </w:rPr>
              <w:t xml:space="preserve">ována na </w:t>
            </w:r>
            <w:proofErr w:type="spellStart"/>
            <w:r w:rsidRPr="00CD32C4">
              <w:rPr>
                <w:rFonts w:ascii="Georgia" w:hAnsi="Georgia"/>
                <w:color w:val="000000"/>
                <w:sz w:val="20"/>
              </w:rPr>
              <w:t>XenApp</w:t>
            </w:r>
            <w:proofErr w:type="spellEnd"/>
            <w:r w:rsidRPr="00CD32C4">
              <w:rPr>
                <w:rFonts w:ascii="Georgia" w:hAnsi="Georgia"/>
                <w:color w:val="000000"/>
                <w:sz w:val="20"/>
              </w:rPr>
              <w:t xml:space="preserve"> serveru</w:t>
            </w:r>
            <w:r w:rsidRPr="00EE0D75">
              <w:rPr>
                <w:rFonts w:ascii="Georgia" w:hAnsi="Georgia"/>
                <w:color w:val="000000"/>
                <w:sz w:val="20"/>
              </w:rPr>
              <w:t> </w:t>
            </w:r>
          </w:p>
        </w:tc>
      </w:tr>
    </w:tbl>
    <w:p w:rsidR="00AE01D0" w:rsidRDefault="00AE01D0" w:rsidP="00F95F30">
      <w:pPr>
        <w:jc w:val="center"/>
      </w:pPr>
    </w:p>
    <w:p w:rsidR="006E3578" w:rsidRDefault="006E3578" w:rsidP="00630184">
      <w:pPr>
        <w:pStyle w:val="Nadpis2"/>
      </w:pPr>
      <w:r>
        <w:t xml:space="preserve">Technické požadavky na </w:t>
      </w:r>
      <w:r w:rsidR="004A7F74">
        <w:t>HW terminál</w:t>
      </w:r>
      <w:r>
        <w:t>: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 xml:space="preserve">TC musí podporovat prostředí </w:t>
      </w:r>
      <w:proofErr w:type="spellStart"/>
      <w:r>
        <w:t>Citrix</w:t>
      </w:r>
      <w:proofErr w:type="spellEnd"/>
      <w:r>
        <w:t xml:space="preserve"> </w:t>
      </w:r>
      <w:proofErr w:type="spellStart"/>
      <w:r>
        <w:t>XenApp</w:t>
      </w:r>
      <w:proofErr w:type="spellEnd"/>
      <w:r>
        <w:t xml:space="preserve"> 6.5 a vyšší</w:t>
      </w:r>
      <w:r w:rsidR="00C23B67">
        <w:t xml:space="preserve">, </w:t>
      </w:r>
      <w:proofErr w:type="spellStart"/>
      <w:r>
        <w:t>Citrix</w:t>
      </w:r>
      <w:proofErr w:type="spellEnd"/>
      <w:r>
        <w:t xml:space="preserve"> klient musí podporovat automatické spuštění publikovaného desktopu po zapnutí zařízení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TC musí mít možnost centrální správy v rozsáhlých datových sítích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SW pro centrální správu TC musí umožňovat převzetí uži</w:t>
      </w:r>
      <w:r w:rsidR="00C23B67">
        <w:t>vatelské obrazovky a klávesnice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SW pro centrální správu TC musí umožňovat využít pro distribuci software lokálního úložiště v jednotlivých lokalitách</w:t>
      </w:r>
      <w:r w:rsidR="00C23B67">
        <w:t>, p</w:t>
      </w:r>
      <w:r>
        <w:t>řípadně disponovat jinou technologií, která dokáže snížit zátěž datových linek při distribuci nových ve</w:t>
      </w:r>
      <w:r w:rsidR="00C23B67">
        <w:t>rzí firmware, záplat a aplikací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TC musí podporovat tisk na tiskárnách včetně multifunkčních z</w:t>
      </w:r>
      <w:r w:rsidR="00C23B67">
        <w:t>ařízení připojených na USB port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TC musí podporovat stránkové skener</w:t>
      </w:r>
      <w:r w:rsidR="00C23B67">
        <w:t>y lokálně připojené na USB port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TC musí podporovat připojení čteček čárových kódů připojených</w:t>
      </w:r>
      <w:r w:rsidR="00C23B67">
        <w:t xml:space="preserve"> na sériový nebo paralelní port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TC musí podporovat připojení tokenů s certifik</w:t>
      </w:r>
      <w:r w:rsidR="00C23B67">
        <w:t xml:space="preserve">átem uživatele od firmy </w:t>
      </w:r>
      <w:proofErr w:type="spellStart"/>
      <w:r w:rsidR="00C23B67">
        <w:t>SafeNet</w:t>
      </w:r>
      <w:proofErr w:type="spellEnd"/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TC musí podporovat přeno</w:t>
      </w:r>
      <w:r w:rsidR="00C23B67">
        <w:t xml:space="preserve">s multimédií v prostředí </w:t>
      </w:r>
      <w:proofErr w:type="spellStart"/>
      <w:r w:rsidR="00C23B67">
        <w:t>Citrix</w:t>
      </w:r>
      <w:proofErr w:type="spellEnd"/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 xml:space="preserve">TC musí podporovat připojení USB </w:t>
      </w:r>
      <w:proofErr w:type="spellStart"/>
      <w:r>
        <w:t>flash</w:t>
      </w:r>
      <w:proofErr w:type="spellEnd"/>
      <w:r>
        <w:t xml:space="preserve"> disků a</w:t>
      </w:r>
      <w:r w:rsidR="00C23B67">
        <w:t xml:space="preserve"> DVD mechanik v prostředí </w:t>
      </w:r>
      <w:proofErr w:type="spellStart"/>
      <w:r w:rsidR="00C23B67">
        <w:t>Citrix</w:t>
      </w:r>
      <w:proofErr w:type="spellEnd"/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TC musí podporovat browser Microsoft Internet Explorer verze 9 včetně českého národního prostředí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 xml:space="preserve">TC musí mít možnost dodávky ve variantě s interní čtečkou </w:t>
      </w:r>
      <w:proofErr w:type="spellStart"/>
      <w:r>
        <w:t>SmartCard</w:t>
      </w:r>
      <w:proofErr w:type="spellEnd"/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TC musí být dodáváno s tříletou zárukou s možností rozšíření na 5let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Výrobce TC musí garantovat dostupnost upgrade firmwaru minimálně 2 roky po u</w:t>
      </w:r>
      <w:r w:rsidR="00C23B67">
        <w:t>končení výroby daného modelu TC</w:t>
      </w:r>
    </w:p>
    <w:p w:rsidR="00D0156D" w:rsidRDefault="00D0156D" w:rsidP="00D0156D">
      <w:pPr>
        <w:pStyle w:val="Odstavecseseznamem"/>
        <w:ind w:left="360"/>
      </w:pP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1x PS/</w:t>
      </w:r>
      <w:r w:rsidR="00C23B67">
        <w:t>2 port pro připojení klávesnice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Minimálně 1GB RAM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2x DVI port s maximálním rozlišením 1920x1200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1X LAN 1Gb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2x USB 2.0 + 2x USB 3.0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 xml:space="preserve">Audio AC97 kompatibilní, samostatné vstupy pro připojení sluchátek a mikrofonu. </w:t>
      </w:r>
    </w:p>
    <w:p w:rsidR="00D0156D" w:rsidRDefault="00D0156D" w:rsidP="00D0156D">
      <w:pPr>
        <w:pStyle w:val="Odstavecseseznamem"/>
        <w:numPr>
          <w:ilvl w:val="0"/>
          <w:numId w:val="10"/>
        </w:numPr>
      </w:pPr>
      <w:r>
        <w:t>Možnost rozšíření o modul WLAN 802.11a/b/g/n</w:t>
      </w:r>
    </w:p>
    <w:p w:rsidR="00D0156D" w:rsidRDefault="00D0156D" w:rsidP="00035FDB">
      <w:pPr>
        <w:pStyle w:val="Odstavecseseznamem"/>
        <w:numPr>
          <w:ilvl w:val="0"/>
          <w:numId w:val="10"/>
        </w:numPr>
      </w:pPr>
      <w:r>
        <w:t xml:space="preserve">Možnost rozšíření o modul 1x </w:t>
      </w:r>
      <w:proofErr w:type="spellStart"/>
      <w:r>
        <w:t>serial</w:t>
      </w:r>
      <w:proofErr w:type="spellEnd"/>
      <w:r>
        <w:t xml:space="preserve"> port</w:t>
      </w:r>
    </w:p>
    <w:p w:rsidR="00494307" w:rsidRDefault="00D0156D" w:rsidP="00D0156D">
      <w:pPr>
        <w:pStyle w:val="Odstavecseseznamem"/>
        <w:numPr>
          <w:ilvl w:val="0"/>
          <w:numId w:val="10"/>
        </w:numPr>
      </w:pPr>
      <w:r>
        <w:t>Možnost rozšíření o modul 1x paralel port</w:t>
      </w:r>
    </w:p>
    <w:sectPr w:rsidR="00494307" w:rsidSect="00F95F3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81" w:rsidRDefault="00872781" w:rsidP="00BD1390">
      <w:pPr>
        <w:spacing w:after="0" w:line="240" w:lineRule="auto"/>
      </w:pPr>
      <w:r>
        <w:separator/>
      </w:r>
    </w:p>
  </w:endnote>
  <w:endnote w:type="continuationSeparator" w:id="0">
    <w:p w:rsidR="00872781" w:rsidRDefault="00872781" w:rsidP="00BD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81" w:rsidRDefault="00872781" w:rsidP="00BD1390">
      <w:pPr>
        <w:spacing w:after="0" w:line="240" w:lineRule="auto"/>
      </w:pPr>
      <w:r>
        <w:separator/>
      </w:r>
    </w:p>
  </w:footnote>
  <w:footnote w:type="continuationSeparator" w:id="0">
    <w:p w:rsidR="00872781" w:rsidRDefault="00872781" w:rsidP="00BD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90" w:rsidRDefault="00F0753B" w:rsidP="00F0753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82515" cy="568325"/>
          <wp:effectExtent l="0" t="0" r="0" b="3175"/>
          <wp:docPr id="2" name="Obrázek 2" descr="C:\Users\MDvorak\Desktop\I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C:\Users\MDvorak\Desktop\I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25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53B" w:rsidRDefault="00F0753B">
    <w:pPr>
      <w:pStyle w:val="Zhlav"/>
    </w:pPr>
  </w:p>
  <w:p w:rsidR="00F0753B" w:rsidRDefault="00F075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46C7"/>
    <w:multiLevelType w:val="hybridMultilevel"/>
    <w:tmpl w:val="1E54D66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6414CF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35FC9"/>
    <w:multiLevelType w:val="multilevel"/>
    <w:tmpl w:val="3AC88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F07819"/>
    <w:multiLevelType w:val="hybridMultilevel"/>
    <w:tmpl w:val="013A8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14CF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CB0C1E"/>
    <w:multiLevelType w:val="multilevel"/>
    <w:tmpl w:val="3AC88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052167"/>
    <w:multiLevelType w:val="multilevel"/>
    <w:tmpl w:val="3AC88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DE7495"/>
    <w:multiLevelType w:val="hybridMultilevel"/>
    <w:tmpl w:val="AF9459F2"/>
    <w:lvl w:ilvl="0" w:tplc="38B28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6D8"/>
    <w:multiLevelType w:val="hybridMultilevel"/>
    <w:tmpl w:val="3F24C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65D33"/>
    <w:multiLevelType w:val="multilevel"/>
    <w:tmpl w:val="ADDA1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CE79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060D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30"/>
    <w:rsid w:val="001E0BE3"/>
    <w:rsid w:val="00334522"/>
    <w:rsid w:val="00402472"/>
    <w:rsid w:val="004453D1"/>
    <w:rsid w:val="0046212F"/>
    <w:rsid w:val="00494307"/>
    <w:rsid w:val="004A7F74"/>
    <w:rsid w:val="004B76F3"/>
    <w:rsid w:val="00630184"/>
    <w:rsid w:val="00692C47"/>
    <w:rsid w:val="006C7BF9"/>
    <w:rsid w:val="006E3578"/>
    <w:rsid w:val="0073537E"/>
    <w:rsid w:val="007B6831"/>
    <w:rsid w:val="00872781"/>
    <w:rsid w:val="009009A8"/>
    <w:rsid w:val="00AE01D0"/>
    <w:rsid w:val="00BC5A38"/>
    <w:rsid w:val="00BD1390"/>
    <w:rsid w:val="00C23B67"/>
    <w:rsid w:val="00C75F51"/>
    <w:rsid w:val="00CA071A"/>
    <w:rsid w:val="00D0156D"/>
    <w:rsid w:val="00D0733B"/>
    <w:rsid w:val="00D15B11"/>
    <w:rsid w:val="00E47466"/>
    <w:rsid w:val="00EF6247"/>
    <w:rsid w:val="00F0753B"/>
    <w:rsid w:val="00F91257"/>
    <w:rsid w:val="00F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F30"/>
  </w:style>
  <w:style w:type="paragraph" w:styleId="Nadpis1">
    <w:name w:val="heading 1"/>
    <w:basedOn w:val="Normln"/>
    <w:next w:val="Normln"/>
    <w:link w:val="Nadpis1Char"/>
    <w:uiPriority w:val="9"/>
    <w:qFormat/>
    <w:rsid w:val="00F95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5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5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95F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5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0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D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390"/>
  </w:style>
  <w:style w:type="paragraph" w:styleId="Zpat">
    <w:name w:val="footer"/>
    <w:basedOn w:val="Normln"/>
    <w:link w:val="ZpatChar"/>
    <w:uiPriority w:val="99"/>
    <w:unhideWhenUsed/>
    <w:rsid w:val="00BD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390"/>
  </w:style>
  <w:style w:type="paragraph" w:styleId="Textbubliny">
    <w:name w:val="Balloon Text"/>
    <w:basedOn w:val="Normln"/>
    <w:link w:val="TextbublinyChar"/>
    <w:uiPriority w:val="99"/>
    <w:semiHidden/>
    <w:unhideWhenUsed/>
    <w:rsid w:val="00F0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1E00-0104-4EE2-9876-F72FD014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2014-06-04T18:37:00Z</dcterms:created>
  <dcterms:modified xsi:type="dcterms:W3CDTF">2014-12-17T15:07:00Z</dcterms:modified>
</cp:coreProperties>
</file>